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88C3B" w14:textId="07C44F25" w:rsidR="00AB3C7D" w:rsidRPr="00AB3C7D" w:rsidRDefault="00E05C7E" w:rsidP="00E05C7E">
      <w:pPr>
        <w:spacing w:before="100" w:beforeAutospacing="1" w:after="100" w:afterAutospacing="1" w:line="300" w:lineRule="atLeast"/>
        <w:rPr>
          <w:rFonts w:ascii="Segoe UI" w:eastAsia="Times New Roman" w:hAnsi="Segoe UI" w:cs="Segoe UI"/>
          <w:b/>
          <w:bCs/>
          <w:kern w:val="36"/>
          <w:sz w:val="48"/>
          <w:szCs w:val="48"/>
          <w:lang w:eastAsia="da-DK"/>
          <w14:ligatures w14:val="none"/>
        </w:rPr>
      </w:pPr>
      <w:r>
        <w:t xml:space="preserve"> </w:t>
      </w:r>
      <w:r w:rsidR="00AB3C7D" w:rsidRPr="00AB3C7D">
        <w:rPr>
          <w:rFonts w:ascii="Segoe UI" w:eastAsia="Times New Roman" w:hAnsi="Segoe UI" w:cs="Segoe UI"/>
          <w:b/>
          <w:bCs/>
          <w:kern w:val="36"/>
          <w:sz w:val="48"/>
          <w:szCs w:val="48"/>
          <w:lang w:eastAsia="da-DK"/>
          <w14:ligatures w14:val="none"/>
        </w:rPr>
        <w:t>Når etik bliver konkret i sygeplejens hverdag</w:t>
      </w:r>
    </w:p>
    <w:p w14:paraId="36789345" w14:textId="0B0A6CA7" w:rsidR="00AB3C7D" w:rsidRPr="00AB3C7D" w:rsidRDefault="00AB3C7D" w:rsidP="00AB3C7D">
      <w:pPr>
        <w:spacing w:before="100" w:beforeAutospacing="1" w:after="100" w:afterAutospacing="1" w:line="300" w:lineRule="atLeast"/>
        <w:rPr>
          <w:rFonts w:ascii="Segoe UI" w:eastAsia="Times New Roman" w:hAnsi="Segoe UI" w:cs="Segoe UI"/>
          <w:kern w:val="0"/>
          <w:sz w:val="21"/>
          <w:szCs w:val="21"/>
          <w:lang w:eastAsia="da-DK"/>
          <w14:ligatures w14:val="none"/>
        </w:rPr>
      </w:pPr>
      <w:r w:rsidRPr="00AB3C7D">
        <w:rPr>
          <w:rFonts w:ascii="Segoe UI" w:eastAsia="Times New Roman" w:hAnsi="Segoe UI" w:cs="Segoe UI"/>
          <w:b/>
          <w:bCs/>
          <w:kern w:val="0"/>
          <w:sz w:val="21"/>
          <w:szCs w:val="21"/>
          <w:lang w:eastAsia="da-DK"/>
          <w14:ligatures w14:val="none"/>
        </w:rPr>
        <w:t>Bogens oplysninger</w:t>
      </w:r>
      <w:r w:rsidRPr="00AB3C7D">
        <w:rPr>
          <w:rFonts w:ascii="Segoe UI" w:eastAsia="Times New Roman" w:hAnsi="Segoe UI" w:cs="Segoe UI"/>
          <w:kern w:val="0"/>
          <w:sz w:val="21"/>
          <w:szCs w:val="21"/>
          <w:lang w:eastAsia="da-DK"/>
          <w14:ligatures w14:val="none"/>
        </w:rPr>
        <w:br/>
      </w:r>
      <w:r w:rsidRPr="00AB3C7D">
        <w:rPr>
          <w:rFonts w:ascii="Segoe UI" w:eastAsia="Times New Roman" w:hAnsi="Segoe UI" w:cs="Segoe UI"/>
          <w:b/>
          <w:bCs/>
          <w:kern w:val="0"/>
          <w:sz w:val="21"/>
          <w:szCs w:val="21"/>
          <w:lang w:eastAsia="da-DK"/>
          <w14:ligatures w14:val="none"/>
        </w:rPr>
        <w:t>Titel:</w:t>
      </w:r>
      <w:r w:rsidRPr="00AB3C7D">
        <w:rPr>
          <w:rFonts w:ascii="Segoe UI" w:eastAsia="Times New Roman" w:hAnsi="Segoe UI" w:cs="Segoe UI"/>
          <w:kern w:val="0"/>
          <w:sz w:val="21"/>
          <w:szCs w:val="21"/>
          <w:lang w:eastAsia="da-DK"/>
          <w14:ligatures w14:val="none"/>
        </w:rPr>
        <w:t xml:space="preserve"> </w:t>
      </w:r>
      <w:r w:rsidRPr="00AB3C7D">
        <w:rPr>
          <w:rFonts w:ascii="Segoe UI" w:eastAsia="Times New Roman" w:hAnsi="Segoe UI" w:cs="Segoe UI"/>
          <w:i/>
          <w:iCs/>
          <w:kern w:val="0"/>
          <w:sz w:val="21"/>
          <w:szCs w:val="21"/>
          <w:lang w:eastAsia="da-DK"/>
          <w14:ligatures w14:val="none"/>
        </w:rPr>
        <w:t>Etik i sygeplejen – Grundbog i teori og praksis</w:t>
      </w:r>
      <w:r w:rsidRPr="00AB3C7D">
        <w:rPr>
          <w:rFonts w:ascii="Segoe UI" w:eastAsia="Times New Roman" w:hAnsi="Segoe UI" w:cs="Segoe UI"/>
          <w:kern w:val="0"/>
          <w:sz w:val="21"/>
          <w:szCs w:val="21"/>
          <w:lang w:eastAsia="da-DK"/>
          <w14:ligatures w14:val="none"/>
        </w:rPr>
        <w:br/>
      </w:r>
      <w:r w:rsidRPr="00AB3C7D">
        <w:rPr>
          <w:rFonts w:ascii="Segoe UI" w:eastAsia="Times New Roman" w:hAnsi="Segoe UI" w:cs="Segoe UI"/>
          <w:b/>
          <w:bCs/>
          <w:kern w:val="0"/>
          <w:sz w:val="21"/>
          <w:szCs w:val="21"/>
          <w:lang w:eastAsia="da-DK"/>
          <w14:ligatures w14:val="none"/>
        </w:rPr>
        <w:t>Forfattere:</w:t>
      </w:r>
      <w:r w:rsidRPr="00AB3C7D">
        <w:rPr>
          <w:rFonts w:ascii="Segoe UI" w:eastAsia="Times New Roman" w:hAnsi="Segoe UI" w:cs="Segoe UI"/>
          <w:kern w:val="0"/>
          <w:sz w:val="21"/>
          <w:szCs w:val="21"/>
          <w:lang w:eastAsia="da-DK"/>
          <w14:ligatures w14:val="none"/>
        </w:rPr>
        <w:t xml:space="preserve"> </w:t>
      </w:r>
      <w:r w:rsidR="000C08CF">
        <w:rPr>
          <w:rFonts w:ascii="Segoe UI" w:eastAsia="Times New Roman" w:hAnsi="Segoe UI" w:cs="Segoe UI"/>
          <w:kern w:val="0"/>
          <w:sz w:val="21"/>
          <w:szCs w:val="21"/>
          <w:lang w:eastAsia="da-DK"/>
          <w14:ligatures w14:val="none"/>
        </w:rPr>
        <w:t>Lisbeth</w:t>
      </w:r>
      <w:r w:rsidR="00F3669F">
        <w:rPr>
          <w:rFonts w:ascii="Segoe UI" w:eastAsia="Times New Roman" w:hAnsi="Segoe UI" w:cs="Segoe UI"/>
          <w:kern w:val="0"/>
          <w:sz w:val="21"/>
          <w:szCs w:val="21"/>
          <w:lang w:eastAsia="da-DK"/>
          <w14:ligatures w14:val="none"/>
        </w:rPr>
        <w:t xml:space="preserve"> Aaskov &amp; Benjamin Olivares Bøgeskov (red.)</w:t>
      </w:r>
      <w:r w:rsidRPr="00AB3C7D">
        <w:rPr>
          <w:rFonts w:ascii="Segoe UI" w:eastAsia="Times New Roman" w:hAnsi="Segoe UI" w:cs="Segoe UI"/>
          <w:kern w:val="0"/>
          <w:sz w:val="21"/>
          <w:szCs w:val="21"/>
          <w:lang w:eastAsia="da-DK"/>
          <w14:ligatures w14:val="none"/>
        </w:rPr>
        <w:br/>
      </w:r>
      <w:r w:rsidRPr="00AB3C7D">
        <w:rPr>
          <w:rFonts w:ascii="Segoe UI" w:eastAsia="Times New Roman" w:hAnsi="Segoe UI" w:cs="Segoe UI"/>
          <w:b/>
          <w:bCs/>
          <w:kern w:val="0"/>
          <w:sz w:val="21"/>
          <w:szCs w:val="21"/>
          <w:lang w:eastAsia="da-DK"/>
          <w14:ligatures w14:val="none"/>
        </w:rPr>
        <w:t>Forlag:</w:t>
      </w:r>
      <w:r w:rsidRPr="00AB3C7D">
        <w:rPr>
          <w:rFonts w:ascii="Segoe UI" w:eastAsia="Times New Roman" w:hAnsi="Segoe UI" w:cs="Segoe UI"/>
          <w:kern w:val="0"/>
          <w:sz w:val="21"/>
          <w:szCs w:val="21"/>
          <w:lang w:eastAsia="da-DK"/>
          <w14:ligatures w14:val="none"/>
        </w:rPr>
        <w:t xml:space="preserve"> </w:t>
      </w:r>
      <w:r w:rsidR="00A0735F">
        <w:rPr>
          <w:rFonts w:ascii="Segoe UI" w:eastAsia="Times New Roman" w:hAnsi="Segoe UI" w:cs="Segoe UI"/>
          <w:kern w:val="0"/>
          <w:sz w:val="21"/>
          <w:szCs w:val="21"/>
          <w:lang w:eastAsia="da-DK"/>
          <w14:ligatures w14:val="none"/>
        </w:rPr>
        <w:t>FADL´S FORLAG</w:t>
      </w:r>
      <w:r w:rsidRPr="00AB3C7D">
        <w:rPr>
          <w:rFonts w:ascii="Segoe UI" w:eastAsia="Times New Roman" w:hAnsi="Segoe UI" w:cs="Segoe UI"/>
          <w:kern w:val="0"/>
          <w:sz w:val="21"/>
          <w:szCs w:val="21"/>
          <w:lang w:eastAsia="da-DK"/>
          <w14:ligatures w14:val="none"/>
        </w:rPr>
        <w:br/>
      </w:r>
      <w:r w:rsidRPr="00AB3C7D">
        <w:rPr>
          <w:rFonts w:ascii="Segoe UI" w:eastAsia="Times New Roman" w:hAnsi="Segoe UI" w:cs="Segoe UI"/>
          <w:b/>
          <w:bCs/>
          <w:kern w:val="0"/>
          <w:sz w:val="21"/>
          <w:szCs w:val="21"/>
          <w:lang w:eastAsia="da-DK"/>
          <w14:ligatures w14:val="none"/>
        </w:rPr>
        <w:t>Udgivelsesår:</w:t>
      </w:r>
      <w:r w:rsidRPr="00AB3C7D">
        <w:rPr>
          <w:rFonts w:ascii="Segoe UI" w:eastAsia="Times New Roman" w:hAnsi="Segoe UI" w:cs="Segoe UI"/>
          <w:kern w:val="0"/>
          <w:sz w:val="21"/>
          <w:szCs w:val="21"/>
          <w:lang w:eastAsia="da-DK"/>
          <w14:ligatures w14:val="none"/>
        </w:rPr>
        <w:t xml:space="preserve"> </w:t>
      </w:r>
      <w:r w:rsidR="001502A0">
        <w:rPr>
          <w:rFonts w:ascii="Segoe UI" w:eastAsia="Times New Roman" w:hAnsi="Segoe UI" w:cs="Segoe UI"/>
          <w:kern w:val="0"/>
          <w:sz w:val="21"/>
          <w:szCs w:val="21"/>
          <w:lang w:eastAsia="da-DK"/>
          <w14:ligatures w14:val="none"/>
        </w:rPr>
        <w:t>2025 – 2. udgave</w:t>
      </w:r>
      <w:r w:rsidR="004E2BD4">
        <w:rPr>
          <w:rFonts w:ascii="Segoe UI" w:eastAsia="Times New Roman" w:hAnsi="Segoe UI" w:cs="Segoe UI"/>
          <w:kern w:val="0"/>
          <w:sz w:val="21"/>
          <w:szCs w:val="21"/>
          <w:lang w:eastAsia="da-DK"/>
          <w14:ligatures w14:val="none"/>
        </w:rPr>
        <w:t>, 1. oplag</w:t>
      </w:r>
    </w:p>
    <w:p w14:paraId="4AB67DC1" w14:textId="13ABD9F1" w:rsidR="00AB3C7D" w:rsidRPr="00AB3C7D" w:rsidRDefault="00AB3C7D" w:rsidP="00AB3C7D">
      <w:pPr>
        <w:spacing w:before="100" w:beforeAutospacing="1" w:after="100" w:afterAutospacing="1" w:line="300" w:lineRule="atLeast"/>
        <w:rPr>
          <w:rFonts w:ascii="Segoe UI" w:eastAsia="Times New Roman" w:hAnsi="Segoe UI" w:cs="Segoe UI"/>
          <w:kern w:val="0"/>
          <w:sz w:val="21"/>
          <w:szCs w:val="21"/>
          <w:lang w:eastAsia="da-DK"/>
          <w14:ligatures w14:val="none"/>
        </w:rPr>
      </w:pPr>
      <w:r w:rsidRPr="00AB3C7D">
        <w:rPr>
          <w:rFonts w:ascii="Segoe UI" w:eastAsia="Times New Roman" w:hAnsi="Segoe UI" w:cs="Segoe UI"/>
          <w:kern w:val="0"/>
          <w:sz w:val="21"/>
          <w:szCs w:val="21"/>
          <w:lang w:eastAsia="da-DK"/>
          <w14:ligatures w14:val="none"/>
        </w:rPr>
        <w:t xml:space="preserve">Etik er en integreret del af sygeplejen, men kan samtidig være svær at sætte ord på og arbejde systematisk med. </w:t>
      </w:r>
      <w:r w:rsidR="00AD2C5E">
        <w:rPr>
          <w:rFonts w:ascii="Segoe UI" w:eastAsia="Times New Roman" w:hAnsi="Segoe UI" w:cs="Segoe UI"/>
          <w:kern w:val="0"/>
          <w:sz w:val="21"/>
          <w:szCs w:val="21"/>
          <w:lang w:eastAsia="da-DK"/>
          <w14:ligatures w14:val="none"/>
        </w:rPr>
        <w:t>D</w:t>
      </w:r>
      <w:r w:rsidRPr="00AB3C7D">
        <w:rPr>
          <w:rFonts w:ascii="Segoe UI" w:eastAsia="Times New Roman" w:hAnsi="Segoe UI" w:cs="Segoe UI"/>
          <w:kern w:val="0"/>
          <w:sz w:val="21"/>
          <w:szCs w:val="21"/>
          <w:lang w:eastAsia="da-DK"/>
          <w14:ligatures w14:val="none"/>
        </w:rPr>
        <w:t xml:space="preserve">et en </w:t>
      </w:r>
      <w:r w:rsidR="00AD2C5E">
        <w:rPr>
          <w:rFonts w:ascii="Segoe UI" w:eastAsia="Times New Roman" w:hAnsi="Segoe UI" w:cs="Segoe UI"/>
          <w:kern w:val="0"/>
          <w:sz w:val="21"/>
          <w:szCs w:val="21"/>
          <w:lang w:eastAsia="da-DK"/>
          <w14:ligatures w14:val="none"/>
        </w:rPr>
        <w:t xml:space="preserve">meget </w:t>
      </w:r>
      <w:r w:rsidRPr="00AB3C7D">
        <w:rPr>
          <w:rFonts w:ascii="Segoe UI" w:eastAsia="Times New Roman" w:hAnsi="Segoe UI" w:cs="Segoe UI"/>
          <w:kern w:val="0"/>
          <w:sz w:val="21"/>
          <w:szCs w:val="21"/>
          <w:lang w:eastAsia="da-DK"/>
          <w14:ligatures w14:val="none"/>
        </w:rPr>
        <w:t xml:space="preserve">positiv oplevelse at læse </w:t>
      </w:r>
      <w:r w:rsidRPr="00AB3C7D">
        <w:rPr>
          <w:rFonts w:ascii="Segoe UI" w:eastAsia="Times New Roman" w:hAnsi="Segoe UI" w:cs="Segoe UI"/>
          <w:i/>
          <w:iCs/>
          <w:kern w:val="0"/>
          <w:sz w:val="21"/>
          <w:szCs w:val="21"/>
          <w:lang w:eastAsia="da-DK"/>
          <w14:ligatures w14:val="none"/>
        </w:rPr>
        <w:t>Etik i sygeplejen – Grundbog i teori og praksis</w:t>
      </w:r>
      <w:r w:rsidRPr="00AB3C7D">
        <w:rPr>
          <w:rFonts w:ascii="Segoe UI" w:eastAsia="Times New Roman" w:hAnsi="Segoe UI" w:cs="Segoe UI"/>
          <w:kern w:val="0"/>
          <w:sz w:val="21"/>
          <w:szCs w:val="21"/>
          <w:lang w:eastAsia="da-DK"/>
          <w14:ligatures w14:val="none"/>
        </w:rPr>
        <w:t>, som på en overskuelig måde formår at koble etiske teorier med de dilemmaer, sygeplejersker møder i praksis.</w:t>
      </w:r>
      <w:r w:rsidR="00082013">
        <w:rPr>
          <w:rFonts w:ascii="Segoe UI" w:eastAsia="Times New Roman" w:hAnsi="Segoe UI" w:cs="Segoe UI"/>
          <w:kern w:val="0"/>
          <w:sz w:val="21"/>
          <w:szCs w:val="21"/>
          <w:lang w:eastAsia="da-DK"/>
          <w14:ligatures w14:val="none"/>
        </w:rPr>
        <w:t xml:space="preserve"> 2. udgave giver ikke svar på nogle etiske dilemmaer og problematikker men argumentere for nødvendigheden af en kultur hvor der kontinuerlig bliver reflekteret. 2. udgave har flere cases og dertil knyttet spørgsmål</w:t>
      </w:r>
      <w:r w:rsidR="001027A7">
        <w:rPr>
          <w:rFonts w:ascii="Segoe UI" w:eastAsia="Times New Roman" w:hAnsi="Segoe UI" w:cs="Segoe UI"/>
          <w:kern w:val="0"/>
          <w:sz w:val="21"/>
          <w:szCs w:val="21"/>
          <w:lang w:eastAsia="da-DK"/>
          <w14:ligatures w14:val="none"/>
        </w:rPr>
        <w:t xml:space="preserve"> der kan</w:t>
      </w:r>
      <w:r w:rsidR="00082013">
        <w:rPr>
          <w:rFonts w:ascii="Segoe UI" w:eastAsia="Times New Roman" w:hAnsi="Segoe UI" w:cs="Segoe UI"/>
          <w:kern w:val="0"/>
          <w:sz w:val="21"/>
          <w:szCs w:val="21"/>
          <w:lang w:eastAsia="da-DK"/>
          <w14:ligatures w14:val="none"/>
        </w:rPr>
        <w:t xml:space="preserve"> bidrage til den etiske refleksion.</w:t>
      </w:r>
    </w:p>
    <w:p w14:paraId="56033E16" w14:textId="47D77145" w:rsidR="00AB3C7D" w:rsidRPr="00AB3C7D" w:rsidRDefault="00AB3C7D" w:rsidP="00AB3C7D">
      <w:pPr>
        <w:spacing w:before="100" w:beforeAutospacing="1" w:after="100" w:afterAutospacing="1" w:line="300" w:lineRule="atLeast"/>
        <w:rPr>
          <w:rFonts w:ascii="Segoe UI" w:eastAsia="Times New Roman" w:hAnsi="Segoe UI" w:cs="Segoe UI"/>
          <w:kern w:val="0"/>
          <w:sz w:val="21"/>
          <w:szCs w:val="21"/>
          <w:lang w:eastAsia="da-DK"/>
          <w14:ligatures w14:val="none"/>
        </w:rPr>
      </w:pPr>
      <w:r w:rsidRPr="00AB3C7D">
        <w:rPr>
          <w:rFonts w:ascii="Segoe UI" w:eastAsia="Times New Roman" w:hAnsi="Segoe UI" w:cs="Segoe UI"/>
          <w:kern w:val="0"/>
          <w:sz w:val="21"/>
          <w:szCs w:val="21"/>
          <w:lang w:eastAsia="da-DK"/>
          <w14:ligatures w14:val="none"/>
        </w:rPr>
        <w:t>Det, der særligt fangede min interesse, var bogens</w:t>
      </w:r>
      <w:r w:rsidR="007B753F">
        <w:rPr>
          <w:rFonts w:ascii="Segoe UI" w:eastAsia="Times New Roman" w:hAnsi="Segoe UI" w:cs="Segoe UI"/>
          <w:kern w:val="0"/>
          <w:sz w:val="21"/>
          <w:szCs w:val="21"/>
          <w:lang w:eastAsia="da-DK"/>
          <w14:ligatures w14:val="none"/>
        </w:rPr>
        <w:t xml:space="preserve"> fine</w:t>
      </w:r>
      <w:r w:rsidRPr="00AB3C7D">
        <w:rPr>
          <w:rFonts w:ascii="Segoe UI" w:eastAsia="Times New Roman" w:hAnsi="Segoe UI" w:cs="Segoe UI"/>
          <w:kern w:val="0"/>
          <w:sz w:val="21"/>
          <w:szCs w:val="21"/>
          <w:lang w:eastAsia="da-DK"/>
          <w14:ligatures w14:val="none"/>
        </w:rPr>
        <w:t xml:space="preserve"> fokus på, hvordan etiske problemstillinger opstår i helt almindelige kliniske situationer. Forfatterne viser, at etik ikke kun handler om de store, principielle spørgsmål, men også om de små beslutninger og prioriteringer, som præger hverdagen i sundhedsvæsenet. Kapitlerne om moralsk stress og arbejdet med sårbare patientgrupper oplevede jeg som særligt aktuelle i en tid, hvor mange sygeplejersker arbejder under betydeligt pres.</w:t>
      </w:r>
    </w:p>
    <w:p w14:paraId="5571BE30" w14:textId="2FEDB958" w:rsidR="00AB3C7D" w:rsidRPr="00AB3C7D" w:rsidRDefault="00AB3C7D" w:rsidP="00AB3C7D">
      <w:pPr>
        <w:spacing w:before="100" w:beforeAutospacing="1" w:after="100" w:afterAutospacing="1" w:line="300" w:lineRule="atLeast"/>
        <w:rPr>
          <w:rFonts w:ascii="Segoe UI" w:eastAsia="Times New Roman" w:hAnsi="Segoe UI" w:cs="Segoe UI"/>
          <w:kern w:val="0"/>
          <w:sz w:val="21"/>
          <w:szCs w:val="21"/>
          <w:lang w:eastAsia="da-DK"/>
          <w14:ligatures w14:val="none"/>
        </w:rPr>
      </w:pPr>
      <w:r w:rsidRPr="00AB3C7D">
        <w:rPr>
          <w:rFonts w:ascii="Segoe UI" w:eastAsia="Times New Roman" w:hAnsi="Segoe UI" w:cs="Segoe UI"/>
          <w:kern w:val="0"/>
          <w:sz w:val="21"/>
          <w:szCs w:val="21"/>
          <w:lang w:eastAsia="da-DK"/>
          <w14:ligatures w14:val="none"/>
        </w:rPr>
        <w:t>Bogen spænder bredt og kommer omkring emner som kultur, psykisk sygdom, multisygdom, akut sygdom</w:t>
      </w:r>
      <w:r w:rsidR="00193D50">
        <w:rPr>
          <w:rFonts w:ascii="Segoe UI" w:eastAsia="Times New Roman" w:hAnsi="Segoe UI" w:cs="Segoe UI"/>
          <w:kern w:val="0"/>
          <w:sz w:val="21"/>
          <w:szCs w:val="21"/>
          <w:lang w:eastAsia="da-DK"/>
          <w14:ligatures w14:val="none"/>
        </w:rPr>
        <w:t>, den ældre</w:t>
      </w:r>
      <w:r w:rsidRPr="00AB3C7D">
        <w:rPr>
          <w:rFonts w:ascii="Segoe UI" w:eastAsia="Times New Roman" w:hAnsi="Segoe UI" w:cs="Segoe UI"/>
          <w:kern w:val="0"/>
          <w:sz w:val="21"/>
          <w:szCs w:val="21"/>
          <w:lang w:eastAsia="da-DK"/>
          <w14:ligatures w14:val="none"/>
        </w:rPr>
        <w:t xml:space="preserve"> og omsorgen for den døende patient. Samtidig giver de mange eksempler og refleksionsmodeller læseren konkrete redskaber til at analysere etiske dilemmaer. Netop denne vekselvirkning mellem teori og praksis er efter min vurdering bogens største styrke.</w:t>
      </w:r>
    </w:p>
    <w:p w14:paraId="079A1C5F" w14:textId="77777777" w:rsidR="00AB3C7D" w:rsidRPr="00AB3C7D" w:rsidRDefault="00AB3C7D" w:rsidP="00AB3C7D">
      <w:pPr>
        <w:spacing w:before="100" w:beforeAutospacing="1" w:after="100" w:afterAutospacing="1" w:line="300" w:lineRule="atLeast"/>
        <w:rPr>
          <w:rFonts w:ascii="Segoe UI" w:eastAsia="Times New Roman" w:hAnsi="Segoe UI" w:cs="Segoe UI"/>
          <w:kern w:val="0"/>
          <w:sz w:val="21"/>
          <w:szCs w:val="21"/>
          <w:lang w:eastAsia="da-DK"/>
          <w14:ligatures w14:val="none"/>
        </w:rPr>
      </w:pPr>
      <w:r w:rsidRPr="00AB3C7D">
        <w:rPr>
          <w:rFonts w:ascii="Segoe UI" w:eastAsia="Times New Roman" w:hAnsi="Segoe UI" w:cs="Segoe UI"/>
          <w:kern w:val="0"/>
          <w:sz w:val="21"/>
          <w:szCs w:val="21"/>
          <w:lang w:eastAsia="da-DK"/>
          <w14:ligatures w14:val="none"/>
        </w:rPr>
        <w:t>Enkelte afsnit er relativt teoritunge, men den systematiske opbygning gør stoffet tilgængeligt, og refleksionsspørgsmålene understøtter læringen. Bogen egner sig derfor både til undervisning, studiegrupper og selvstudie.</w:t>
      </w:r>
    </w:p>
    <w:p w14:paraId="3E3F0F53" w14:textId="0B8FC2C6" w:rsidR="00AB3C7D" w:rsidRPr="00AB3C7D" w:rsidRDefault="002E2308" w:rsidP="00AB3C7D">
      <w:pPr>
        <w:spacing w:before="100" w:beforeAutospacing="1" w:after="100" w:afterAutospacing="1" w:line="300" w:lineRule="atLeast"/>
        <w:rPr>
          <w:rFonts w:ascii="Segoe UI" w:eastAsia="Times New Roman" w:hAnsi="Segoe UI" w:cs="Segoe UI"/>
          <w:kern w:val="0"/>
          <w:sz w:val="21"/>
          <w:szCs w:val="21"/>
          <w:lang w:eastAsia="da-DK"/>
          <w14:ligatures w14:val="none"/>
        </w:rPr>
      </w:pPr>
      <w:r w:rsidRPr="0054067B">
        <w:rPr>
          <w:rFonts w:ascii="Segoe UI" w:eastAsia="Times New Roman" w:hAnsi="Segoe UI" w:cs="Segoe UI"/>
          <w:b/>
          <w:bCs/>
          <w:kern w:val="0"/>
          <w:sz w:val="21"/>
          <w:szCs w:val="21"/>
          <w:lang w:eastAsia="da-DK"/>
          <w14:ligatures w14:val="none"/>
        </w:rPr>
        <w:t>Vurdering:</w:t>
      </w:r>
      <w:r>
        <w:rPr>
          <w:rFonts w:ascii="Segoe UI" w:eastAsia="Times New Roman" w:hAnsi="Segoe UI" w:cs="Segoe UI"/>
          <w:kern w:val="0"/>
          <w:sz w:val="21"/>
          <w:szCs w:val="21"/>
          <w:lang w:eastAsia="da-DK"/>
          <w14:ligatures w14:val="none"/>
        </w:rPr>
        <w:t xml:space="preserve"> </w:t>
      </w:r>
      <w:r w:rsidR="00AB3C7D" w:rsidRPr="00AB3C7D">
        <w:rPr>
          <w:rFonts w:ascii="Segoe UI" w:eastAsia="Times New Roman" w:hAnsi="Segoe UI" w:cs="Segoe UI"/>
          <w:kern w:val="0"/>
          <w:sz w:val="21"/>
          <w:szCs w:val="21"/>
          <w:lang w:eastAsia="da-DK"/>
          <w14:ligatures w14:val="none"/>
        </w:rPr>
        <w:t xml:space="preserve">Samlet set er </w:t>
      </w:r>
      <w:r w:rsidR="00AB3C7D" w:rsidRPr="00AB3C7D">
        <w:rPr>
          <w:rFonts w:ascii="Segoe UI" w:eastAsia="Times New Roman" w:hAnsi="Segoe UI" w:cs="Segoe UI"/>
          <w:i/>
          <w:iCs/>
          <w:kern w:val="0"/>
          <w:sz w:val="21"/>
          <w:szCs w:val="21"/>
          <w:lang w:eastAsia="da-DK"/>
          <w14:ligatures w14:val="none"/>
        </w:rPr>
        <w:t>Etik i sygeplejen – Grundbog i teori og praksis</w:t>
      </w:r>
      <w:r w:rsidR="00AB3C7D" w:rsidRPr="00AB3C7D">
        <w:rPr>
          <w:rFonts w:ascii="Segoe UI" w:eastAsia="Times New Roman" w:hAnsi="Segoe UI" w:cs="Segoe UI"/>
          <w:kern w:val="0"/>
          <w:sz w:val="21"/>
          <w:szCs w:val="21"/>
          <w:lang w:eastAsia="da-DK"/>
          <w14:ligatures w14:val="none"/>
        </w:rPr>
        <w:t xml:space="preserve"> en relevant og velfunderet grundbog, som understøtter udviklingen af etisk bevidsthed og faglig dømmekraft. Jeg vil især anbefale den til sygeplejestuderende</w:t>
      </w:r>
      <w:r w:rsidR="0054067B">
        <w:rPr>
          <w:rFonts w:ascii="Segoe UI" w:eastAsia="Times New Roman" w:hAnsi="Segoe UI" w:cs="Segoe UI"/>
          <w:kern w:val="0"/>
          <w:sz w:val="21"/>
          <w:szCs w:val="21"/>
          <w:lang w:eastAsia="da-DK"/>
          <w14:ligatures w14:val="none"/>
        </w:rPr>
        <w:t>, undervisere</w:t>
      </w:r>
      <w:r w:rsidR="00AB3C7D" w:rsidRPr="00AB3C7D">
        <w:rPr>
          <w:rFonts w:ascii="Segoe UI" w:eastAsia="Times New Roman" w:hAnsi="Segoe UI" w:cs="Segoe UI"/>
          <w:kern w:val="0"/>
          <w:sz w:val="21"/>
          <w:szCs w:val="21"/>
          <w:lang w:eastAsia="da-DK"/>
          <w14:ligatures w14:val="none"/>
        </w:rPr>
        <w:t xml:space="preserve"> og kliniske vejledere, men også erfarne sygeplejersker kan finde inspiration til refleksion over egen praksis. Bogen er et værdifuldt bidrag til forståelsen af etikkens betydning i et stadigt mere komplekst sundhedsvæsen.</w:t>
      </w:r>
    </w:p>
    <w:p w14:paraId="143BC071" w14:textId="01024EE5" w:rsidR="00AB3C7D" w:rsidRDefault="00AB3C7D" w:rsidP="00AB3C7D">
      <w:pPr>
        <w:spacing w:before="100" w:beforeAutospacing="1" w:after="100" w:afterAutospacing="1" w:line="300" w:lineRule="atLeast"/>
        <w:rPr>
          <w:rFonts w:ascii="Segoe UI" w:eastAsia="Times New Roman" w:hAnsi="Segoe UI" w:cs="Segoe UI"/>
          <w:kern w:val="0"/>
          <w:sz w:val="21"/>
          <w:szCs w:val="21"/>
          <w:lang w:eastAsia="da-DK"/>
          <w14:ligatures w14:val="none"/>
        </w:rPr>
      </w:pPr>
      <w:r w:rsidRPr="00AB3C7D">
        <w:rPr>
          <w:rFonts w:ascii="Segoe UI" w:eastAsia="Times New Roman" w:hAnsi="Segoe UI" w:cs="Segoe UI"/>
          <w:b/>
          <w:bCs/>
          <w:kern w:val="0"/>
          <w:sz w:val="21"/>
          <w:szCs w:val="21"/>
          <w:lang w:eastAsia="da-DK"/>
          <w14:ligatures w14:val="none"/>
        </w:rPr>
        <w:t>Anmelder</w:t>
      </w:r>
      <w:r w:rsidRPr="00AB3C7D">
        <w:rPr>
          <w:rFonts w:ascii="Segoe UI" w:eastAsia="Times New Roman" w:hAnsi="Segoe UI" w:cs="Segoe UI"/>
          <w:kern w:val="0"/>
          <w:sz w:val="21"/>
          <w:szCs w:val="21"/>
          <w:lang w:eastAsia="da-DK"/>
          <w14:ligatures w14:val="none"/>
        </w:rPr>
        <w:br/>
        <w:t>Pernille Kølholt Langkilde</w:t>
      </w:r>
      <w:r w:rsidRPr="00AB3C7D">
        <w:rPr>
          <w:rFonts w:ascii="Segoe UI" w:eastAsia="Times New Roman" w:hAnsi="Segoe UI" w:cs="Segoe UI"/>
          <w:kern w:val="0"/>
          <w:sz w:val="21"/>
          <w:szCs w:val="21"/>
          <w:lang w:eastAsia="da-DK"/>
          <w14:ligatures w14:val="none"/>
        </w:rPr>
        <w:br/>
        <w:t>Underviser</w:t>
      </w:r>
    </w:p>
    <w:p w14:paraId="27DBD0EA" w14:textId="572B1A81" w:rsidR="009414A6" w:rsidRPr="00AB3C7D" w:rsidRDefault="009414A6" w:rsidP="00AB3C7D">
      <w:pPr>
        <w:spacing w:before="100" w:beforeAutospacing="1" w:after="100" w:afterAutospacing="1" w:line="300" w:lineRule="atLeast"/>
        <w:rPr>
          <w:rFonts w:ascii="Segoe UI" w:eastAsia="Times New Roman" w:hAnsi="Segoe UI" w:cs="Segoe UI"/>
          <w:kern w:val="0"/>
          <w:sz w:val="21"/>
          <w:szCs w:val="21"/>
          <w:lang w:eastAsia="da-DK"/>
          <w14:ligatures w14:val="none"/>
        </w:rPr>
      </w:pPr>
      <w:r>
        <w:rPr>
          <w:noProof/>
        </w:rPr>
        <w:drawing>
          <wp:inline distT="0" distB="0" distL="0" distR="0" wp14:anchorId="2BA498D6" wp14:editId="648818A4">
            <wp:extent cx="2095500" cy="476250"/>
            <wp:effectExtent l="0" t="0" r="0" b="0"/>
            <wp:docPr id="1"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2"/>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95500" cy="476250"/>
                    </a:xfrm>
                    <a:prstGeom prst="rect">
                      <a:avLst/>
                    </a:prstGeom>
                    <a:noFill/>
                    <a:ln>
                      <a:noFill/>
                    </a:ln>
                  </pic:spPr>
                </pic:pic>
              </a:graphicData>
            </a:graphic>
          </wp:inline>
        </w:drawing>
      </w:r>
    </w:p>
    <w:p w14:paraId="3529EE43" w14:textId="197825A5" w:rsidR="006D5DC9" w:rsidRPr="00BB1385" w:rsidRDefault="0092385C" w:rsidP="00BB1385">
      <w:pPr>
        <w:spacing w:before="100" w:beforeAutospacing="1" w:after="100" w:afterAutospacing="1" w:line="300" w:lineRule="atLeast"/>
        <w:outlineLvl w:val="1"/>
        <w:rPr>
          <w:rFonts w:ascii="Segoe UI" w:eastAsia="Times New Roman" w:hAnsi="Segoe UI" w:cs="Segoe UI"/>
          <w:b/>
          <w:bCs/>
          <w:kern w:val="0"/>
          <w:sz w:val="36"/>
          <w:szCs w:val="36"/>
          <w:lang w:eastAsia="da-DK"/>
          <w14:ligatures w14:val="none"/>
        </w:rPr>
      </w:pPr>
      <w:r>
        <w:rPr>
          <w:rFonts w:ascii="Segoe UI" w:eastAsia="Times New Roman" w:hAnsi="Segoe UI" w:cs="Segoe UI"/>
          <w:b/>
          <w:bCs/>
          <w:kern w:val="0"/>
          <w:sz w:val="27"/>
          <w:szCs w:val="27"/>
          <w:lang w:eastAsia="da-DK"/>
          <w14:ligatures w14:val="none"/>
        </w:rPr>
        <w:t xml:space="preserve"> </w:t>
      </w:r>
    </w:p>
    <w:sectPr w:rsidR="006D5DC9" w:rsidRPr="00BB1385" w:rsidSect="00BB1385">
      <w:pgSz w:w="11906" w:h="16838"/>
      <w:pgMar w:top="1701"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036"/>
    <w:rsid w:val="00082013"/>
    <w:rsid w:val="000C08CF"/>
    <w:rsid w:val="001027A7"/>
    <w:rsid w:val="00146F82"/>
    <w:rsid w:val="001502A0"/>
    <w:rsid w:val="00193D50"/>
    <w:rsid w:val="00203612"/>
    <w:rsid w:val="002E2308"/>
    <w:rsid w:val="003122B9"/>
    <w:rsid w:val="0031485E"/>
    <w:rsid w:val="00372080"/>
    <w:rsid w:val="00423124"/>
    <w:rsid w:val="004612AC"/>
    <w:rsid w:val="004E2BD4"/>
    <w:rsid w:val="0054067B"/>
    <w:rsid w:val="00552036"/>
    <w:rsid w:val="006A77BE"/>
    <w:rsid w:val="006D5DC9"/>
    <w:rsid w:val="007B753F"/>
    <w:rsid w:val="007B7E51"/>
    <w:rsid w:val="0092385C"/>
    <w:rsid w:val="009414A6"/>
    <w:rsid w:val="00954A13"/>
    <w:rsid w:val="00A0735F"/>
    <w:rsid w:val="00A3202B"/>
    <w:rsid w:val="00A70CD9"/>
    <w:rsid w:val="00AB3C7D"/>
    <w:rsid w:val="00AD2C5E"/>
    <w:rsid w:val="00BB1385"/>
    <w:rsid w:val="00C17F5A"/>
    <w:rsid w:val="00E05C7E"/>
    <w:rsid w:val="00E37C1D"/>
    <w:rsid w:val="00F3669F"/>
    <w:rsid w:val="00FA5E8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CB96F"/>
  <w15:chartTrackingRefBased/>
  <w15:docId w15:val="{26756857-2B74-41E2-B5C8-FD8EFABDE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520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520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5203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5203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5203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5203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5203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5203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5203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5203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55203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55203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55203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55203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55203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55203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55203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552036"/>
    <w:rPr>
      <w:rFonts w:eastAsiaTheme="majorEastAsia" w:cstheme="majorBidi"/>
      <w:color w:val="272727" w:themeColor="text1" w:themeTint="D8"/>
    </w:rPr>
  </w:style>
  <w:style w:type="paragraph" w:styleId="Titel">
    <w:name w:val="Title"/>
    <w:basedOn w:val="Normal"/>
    <w:next w:val="Normal"/>
    <w:link w:val="TitelTegn"/>
    <w:uiPriority w:val="10"/>
    <w:qFormat/>
    <w:rsid w:val="005520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55203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55203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55203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55203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552036"/>
    <w:rPr>
      <w:i/>
      <w:iCs/>
      <w:color w:val="404040" w:themeColor="text1" w:themeTint="BF"/>
    </w:rPr>
  </w:style>
  <w:style w:type="paragraph" w:styleId="Listeafsnit">
    <w:name w:val="List Paragraph"/>
    <w:basedOn w:val="Normal"/>
    <w:uiPriority w:val="34"/>
    <w:qFormat/>
    <w:rsid w:val="00552036"/>
    <w:pPr>
      <w:ind w:left="720"/>
      <w:contextualSpacing/>
    </w:pPr>
  </w:style>
  <w:style w:type="character" w:styleId="Kraftigfremhvning">
    <w:name w:val="Intense Emphasis"/>
    <w:basedOn w:val="Standardskrifttypeiafsnit"/>
    <w:uiPriority w:val="21"/>
    <w:qFormat/>
    <w:rsid w:val="00552036"/>
    <w:rPr>
      <w:i/>
      <w:iCs/>
      <w:color w:val="0F4761" w:themeColor="accent1" w:themeShade="BF"/>
    </w:rPr>
  </w:style>
  <w:style w:type="paragraph" w:styleId="Strktcitat">
    <w:name w:val="Intense Quote"/>
    <w:basedOn w:val="Normal"/>
    <w:next w:val="Normal"/>
    <w:link w:val="StrktcitatTegn"/>
    <w:uiPriority w:val="30"/>
    <w:qFormat/>
    <w:rsid w:val="005520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552036"/>
    <w:rPr>
      <w:i/>
      <w:iCs/>
      <w:color w:val="0F4761" w:themeColor="accent1" w:themeShade="BF"/>
    </w:rPr>
  </w:style>
  <w:style w:type="character" w:styleId="Kraftighenvisning">
    <w:name w:val="Intense Reference"/>
    <w:basedOn w:val="Standardskrifttypeiafsnit"/>
    <w:uiPriority w:val="32"/>
    <w:qFormat/>
    <w:rsid w:val="005520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2062</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Pernille Kølholt Langkilde</dc:creator>
  <cp:keywords/>
  <dc:description/>
  <cp:lastModifiedBy>Helene P</cp:lastModifiedBy>
  <cp:revision>2</cp:revision>
  <cp:lastPrinted>2026-08-05T09:05:00Z</cp:lastPrinted>
  <dcterms:created xsi:type="dcterms:W3CDTF">2026-08-30T08:17:00Z</dcterms:created>
  <dcterms:modified xsi:type="dcterms:W3CDTF">2026-08-30T08:17:00Z</dcterms:modified>
</cp:coreProperties>
</file>